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b w:val="0"/>
          <w:bCs w:val="0"/>
          <w:kern w:val="2"/>
          <w:sz w:val="32"/>
          <w:szCs w:val="32"/>
          <w:lang w:val="en-US" w:eastAsia="zh-CN" w:bidi="ar-SA"/>
        </w:rPr>
      </w:pPr>
      <w:bookmarkStart w:id="0" w:name="_GoBack"/>
      <w:bookmarkEnd w:id="0"/>
      <w:r>
        <w:rPr>
          <w:rFonts w:hint="eastAsia" w:ascii="Times New Roman" w:hAnsi="Times New Roman" w:eastAsia="仿宋_GB2312" w:cs="Times New Roman"/>
          <w:b w:val="0"/>
          <w:bCs w:val="0"/>
          <w:kern w:val="2"/>
          <w:sz w:val="32"/>
          <w:szCs w:val="32"/>
          <w:lang w:val="en-US" w:eastAsia="zh-CN" w:bidi="ar-SA"/>
        </w:rPr>
        <w:t>附件1</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方正小标宋简体" w:cs="Times New Roman"/>
          <w:kern w:val="2"/>
          <w:sz w:val="44"/>
          <w:szCs w:val="44"/>
          <w:lang w:val="en-US" w:eastAsia="zh-CN" w:bidi="ar-SA"/>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方正小标宋简体" w:cs="Times New Roman"/>
          <w:kern w:val="2"/>
          <w:sz w:val="44"/>
          <w:szCs w:val="44"/>
          <w:lang w:val="en-US" w:eastAsia="zh-CN" w:bidi="ar-SA"/>
        </w:rPr>
      </w:pPr>
      <w:r>
        <w:rPr>
          <w:rFonts w:hint="eastAsia" w:ascii="Times New Roman" w:hAnsi="Times New Roman" w:eastAsia="方正小标宋简体" w:cs="Times New Roman"/>
          <w:kern w:val="2"/>
          <w:sz w:val="44"/>
          <w:szCs w:val="44"/>
          <w:lang w:val="en-US" w:eastAsia="zh-CN" w:bidi="ar-SA"/>
        </w:rPr>
        <w:t>2024年黑龙江省高等学校教师岗前培训工作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方正小标宋简体" w:cs="Times New Roman"/>
          <w:kern w:val="2"/>
          <w:sz w:val="44"/>
          <w:szCs w:val="44"/>
          <w:lang w:val="en-US" w:eastAsia="zh-CN" w:bidi="ar-SA"/>
        </w:rPr>
      </w:pPr>
      <w:r>
        <w:rPr>
          <w:rFonts w:hint="eastAsia" w:ascii="Times New Roman" w:hAnsi="Times New Roman" w:eastAsia="方正小标宋简体" w:cs="Times New Roman"/>
          <w:kern w:val="2"/>
          <w:sz w:val="44"/>
          <w:szCs w:val="44"/>
          <w:lang w:val="en-US" w:eastAsia="zh-CN" w:bidi="ar-SA"/>
        </w:rPr>
        <w:t>实施方案</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400" w:lineRule="exact"/>
        <w:ind w:firstLine="564" w:firstLineChars="196"/>
        <w:jc w:val="left"/>
        <w:textAlignment w:val="baseline"/>
        <w:rPr>
          <w:rStyle w:val="7"/>
          <w:rFonts w:hint="eastAsia" w:ascii="仿宋" w:hAnsi="仿宋" w:eastAsia="仿宋" w:cs="仿宋"/>
          <w:color w:val="auto"/>
          <w:w w:val="90"/>
          <w:kern w:val="2"/>
          <w:sz w:val="32"/>
          <w:szCs w:val="32"/>
          <w:shd w:val="clear" w:color="auto" w:fill="auto"/>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高等学校教师岗前培训是加强高等学校教师培养培训和队伍建设的重要基础性工作之一，是高等学校教师上岗必备的培训过程。根据教育部《高校教师岗前培训暂行细则》、《高校教师岗前培训教学指导纲要》以及黑龙江省教育厅有关文件精神，为做好2024年黑龙江省高校教师岗前培训工作，特制定本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一、培训目标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通过培训，帮助高校新入职教师初步掌握高等教育教学规律和基础知识，具备上岗必须的教育教学技能，适应教育教学任务，培养职业道德修养，提高教学科研水平，能够更好地全面履行教师岗位职责。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二、培训对象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教育部最新公布“全国普通高等学校名单”中所列我省78所普通高等学校和“全国成人高等学校”中所列我省16所成人高等学校的新入职专任教师和其他专业技术人员（包括从事教学管理、实验技术、教学辅助、学生思想政治工作以及医学院校附属医院从事教学工作的人员）。已具备《高等学校教师资格证》人员可免修《高等教育学》、《高等教育心理学》和《高等学校教师教育教学能力》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三、培训形式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采取网络培训、线下自学和校本培训相结合的形式。参训学员通过黑龙江省高校师资培训中心网站（http://hljgszx.hrbnu.edu.cn）高校教师岗前培训管理系统在线学习必修和选修课程，校本培训由所在学校根据本校实际自行组织。</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atLeast"/>
        <w:ind w:firstLine="576" w:firstLineChars="200"/>
        <w:jc w:val="both"/>
        <w:textAlignment w:val="baseline"/>
        <w:rPr>
          <w:rStyle w:val="7"/>
          <w:rFonts w:hint="eastAsia" w:ascii="黑体" w:hAnsi="黑体" w:eastAsia="黑体" w:cs="黑体"/>
          <w:b w:val="0"/>
          <w:bCs w:val="0"/>
          <w:color w:val="auto"/>
          <w:w w:val="90"/>
          <w:kern w:val="2"/>
          <w:sz w:val="32"/>
          <w:szCs w:val="32"/>
          <w:shd w:val="clear" w:color="auto" w:fill="auto"/>
          <w:lang w:val="en-US" w:eastAsia="zh-CN" w:bidi="ar-SA"/>
        </w:rPr>
      </w:pPr>
      <w:r>
        <w:rPr>
          <w:rStyle w:val="7"/>
          <w:rFonts w:hint="eastAsia" w:ascii="黑体" w:hAnsi="黑体" w:eastAsia="黑体" w:cs="黑体"/>
          <w:b w:val="0"/>
          <w:bCs w:val="0"/>
          <w:color w:val="auto"/>
          <w:w w:val="90"/>
          <w:kern w:val="2"/>
          <w:sz w:val="32"/>
          <w:szCs w:val="32"/>
          <w:shd w:val="clear" w:color="auto" w:fill="auto"/>
          <w:lang w:val="en-US" w:eastAsia="zh-CN" w:bidi="ar-SA"/>
        </w:rPr>
        <w:t>四、培训课程</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atLeast"/>
        <w:ind w:firstLine="576" w:firstLineChars="200"/>
        <w:jc w:val="both"/>
        <w:textAlignment w:val="baseline"/>
        <w:rPr>
          <w:rStyle w:val="7"/>
          <w:rFonts w:hint="eastAsia" w:ascii="楷体" w:hAnsi="楷体" w:eastAsia="楷体" w:cs="楷体"/>
          <w:b w:val="0"/>
          <w:bCs w:val="0"/>
          <w:color w:val="auto"/>
          <w:w w:val="90"/>
          <w:kern w:val="2"/>
          <w:sz w:val="32"/>
          <w:szCs w:val="32"/>
          <w:shd w:val="clear" w:color="auto" w:fill="auto"/>
          <w:lang w:val="en-US" w:eastAsia="zh-CN" w:bidi="ar-SA"/>
        </w:rPr>
      </w:pPr>
      <w:r>
        <w:rPr>
          <w:rStyle w:val="7"/>
          <w:rFonts w:hint="eastAsia" w:ascii="楷体" w:hAnsi="楷体" w:eastAsia="楷体" w:cs="楷体"/>
          <w:b w:val="0"/>
          <w:bCs w:val="0"/>
          <w:color w:val="auto"/>
          <w:w w:val="90"/>
          <w:kern w:val="2"/>
          <w:sz w:val="32"/>
          <w:szCs w:val="32"/>
          <w:shd w:val="clear" w:color="auto" w:fill="auto"/>
          <w:lang w:val="en-US" w:eastAsia="zh-CN" w:bidi="ar-SA"/>
        </w:rPr>
        <w:t>（一）“通识”培训部分</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atLeast"/>
        <w:ind w:firstLine="576" w:firstLineChars="200"/>
        <w:jc w:val="both"/>
        <w:textAlignment w:val="baseline"/>
        <w:rPr>
          <w:rStyle w:val="7"/>
          <w:rFonts w:hint="eastAsia" w:ascii="仿宋" w:hAnsi="仿宋" w:eastAsia="仿宋" w:cs="仿宋"/>
          <w:color w:val="auto"/>
          <w:w w:val="90"/>
          <w:kern w:val="2"/>
          <w:sz w:val="32"/>
          <w:szCs w:val="32"/>
          <w:shd w:val="clear" w:color="auto" w:fill="auto"/>
          <w:lang w:val="en-US" w:eastAsia="zh-CN" w:bidi="ar-SA"/>
        </w:rPr>
      </w:pPr>
      <w:r>
        <w:rPr>
          <w:rStyle w:val="7"/>
          <w:rFonts w:hint="eastAsia" w:ascii="仿宋" w:hAnsi="仿宋" w:eastAsia="仿宋" w:cs="仿宋"/>
          <w:bCs/>
          <w:color w:val="auto"/>
          <w:w w:val="90"/>
          <w:kern w:val="2"/>
          <w:sz w:val="32"/>
          <w:szCs w:val="32"/>
          <w:shd w:val="clear" w:color="auto" w:fill="auto"/>
          <w:lang w:val="en-US" w:eastAsia="zh-CN" w:bidi="ar-SA"/>
        </w:rPr>
        <w:t>1.培训课程目录</w:t>
      </w:r>
    </w:p>
    <w:tbl>
      <w:tblPr>
        <w:tblStyle w:val="5"/>
        <w:tblW w:w="10365"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0"/>
        <w:gridCol w:w="3006"/>
        <w:gridCol w:w="5729"/>
        <w:gridCol w:w="1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6" w:hRule="atLeast"/>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kinsoku/>
              <w:wordWrap/>
              <w:overflowPunct/>
              <w:autoSpaceDE/>
              <w:autoSpaceDN/>
              <w:bidi w:val="0"/>
              <w:spacing w:line="240" w:lineRule="auto"/>
              <w:jc w:val="center"/>
              <w:textAlignment w:val="auto"/>
              <w:rPr>
                <w:rStyle w:val="7"/>
                <w:rFonts w:hint="eastAsia" w:ascii="仿宋" w:hAnsi="仿宋" w:eastAsia="仿宋" w:cs="仿宋"/>
                <w:b/>
                <w:bCs w:val="0"/>
                <w:color w:val="auto"/>
                <w:kern w:val="2"/>
                <w:sz w:val="21"/>
                <w:szCs w:val="21"/>
                <w:shd w:val="clear" w:color="auto" w:fill="auto"/>
                <w:lang w:val="en-US" w:eastAsia="zh-CN" w:bidi="ar-SA"/>
              </w:rPr>
            </w:pPr>
            <w:r>
              <w:rPr>
                <w:rStyle w:val="7"/>
                <w:rFonts w:hint="eastAsia" w:ascii="仿宋" w:hAnsi="仿宋" w:eastAsia="仿宋" w:cs="仿宋"/>
                <w:b/>
                <w:bCs w:val="0"/>
                <w:color w:val="auto"/>
                <w:kern w:val="2"/>
                <w:sz w:val="24"/>
                <w:szCs w:val="24"/>
                <w:shd w:val="clear" w:color="auto" w:fill="auto"/>
                <w:lang w:val="en-US" w:eastAsia="zh-CN" w:bidi="ar-SA"/>
              </w:rPr>
              <w:t>必修课目录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序号</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课程名称</w:t>
            </w:r>
          </w:p>
        </w:tc>
        <w:tc>
          <w:tcPr>
            <w:tcW w:w="5729" w:type="dxa"/>
            <w:tcBorders>
              <w:top w:val="single" w:color="000000" w:sz="4" w:space="0"/>
              <w:left w:val="nil"/>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主讲教师</w:t>
            </w:r>
          </w:p>
        </w:tc>
        <w:tc>
          <w:tcPr>
            <w:tcW w:w="1010" w:type="dxa"/>
            <w:tcBorders>
              <w:top w:val="single" w:color="000000" w:sz="4" w:space="0"/>
              <w:left w:val="single" w:color="000000" w:sz="4" w:space="0"/>
              <w:bottom w:val="single" w:color="000000" w:sz="4" w:space="0"/>
              <w:right w:val="single" w:color="000000" w:sz="4" w:space="0"/>
            </w:tcBorders>
            <w:vAlign w:val="center"/>
          </w:tcPr>
          <w:p>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t>时长</w:t>
            </w:r>
          </w:p>
          <w:p>
            <w:pPr>
              <w:shd w:val="clear"/>
              <w:kinsoku/>
              <w:wordWrap/>
              <w:overflowPunct/>
              <w:autoSpaceDE/>
              <w:autoSpaceDN/>
              <w:bidi w:val="0"/>
              <w:spacing w:line="240" w:lineRule="auto"/>
              <w:jc w:val="center"/>
              <w:textAlignment w:val="auto"/>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1</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高等教育学</w:t>
            </w:r>
          </w:p>
        </w:tc>
        <w:tc>
          <w:tcPr>
            <w:tcW w:w="5729"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高益民、林杰、刘宝存、洪成文、王璐、黄宇、谷贤林、杨明全（北京师范大学）</w:t>
            </w:r>
          </w:p>
        </w:tc>
        <w:tc>
          <w:tcPr>
            <w:tcW w:w="1010"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44.74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2</w:t>
            </w:r>
          </w:p>
        </w:tc>
        <w:tc>
          <w:tcPr>
            <w:tcW w:w="3006"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高等教育心理学</w:t>
            </w:r>
          </w:p>
        </w:tc>
        <w:tc>
          <w:tcPr>
            <w:tcW w:w="5729" w:type="dxa"/>
            <w:tcBorders>
              <w:top w:val="nil"/>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伍新春（北京师范大学）、刘儒德（北京师范大学）、彭华茂（北京师范大学）、姚梅林（北京师范大学）、方平（首都师范大学）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41.33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3</w:t>
            </w:r>
          </w:p>
        </w:tc>
        <w:tc>
          <w:tcPr>
            <w:tcW w:w="3006"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2"/>
                <w:sz w:val="24"/>
                <w:szCs w:val="24"/>
                <w:highlight w:val="none"/>
                <w:shd w:val="clear" w:color="auto" w:fill="auto"/>
                <w:lang w:val="en-US" w:eastAsia="zh-CN" w:bidi="ar-SA"/>
                <w14:textFill>
                  <w14:solidFill>
                    <w14:schemeClr w14:val="tx1"/>
                  </w14:solidFill>
                </w14:textFill>
              </w:rPr>
              <w:t>高等学校教师教育教学能力</w:t>
            </w:r>
          </w:p>
        </w:tc>
        <w:tc>
          <w:tcPr>
            <w:tcW w:w="5729" w:type="dxa"/>
            <w:tcBorders>
              <w:top w:val="nil"/>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i w:val="0"/>
                <w:color w:val="000000" w:themeColor="text1"/>
                <w:kern w:val="0"/>
                <w:sz w:val="24"/>
                <w:szCs w:val="24"/>
                <w:highlight w:val="none"/>
                <w:shd w:val="clear" w:color="auto" w:fill="auto"/>
                <w:lang w:val="en-US" w:eastAsia="zh-CN"/>
                <w14:textFill>
                  <w14:solidFill>
                    <w14:schemeClr w14:val="tx1"/>
                  </w14:solidFill>
                </w14:textFill>
              </w:rPr>
              <w:t>韩映雄（华东师范大学）</w:t>
            </w: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w:t>
            </w:r>
            <w:r>
              <w:rPr>
                <w:rStyle w:val="10"/>
                <w:rFonts w:hint="eastAsia" w:ascii="仿宋" w:hAnsi="仿宋" w:eastAsia="仿宋" w:cs="仿宋"/>
                <w:i w:val="0"/>
                <w:color w:val="000000" w:themeColor="text1"/>
                <w:kern w:val="2"/>
                <w:sz w:val="24"/>
                <w:szCs w:val="24"/>
                <w:highlight w:val="none"/>
                <w:shd w:val="clear" w:color="auto" w:fill="auto"/>
                <w:lang w:val="en-US" w:eastAsia="zh-CN"/>
                <w14:textFill>
                  <w14:solidFill>
                    <w14:schemeClr w14:val="tx1"/>
                  </w14:solidFill>
                </w14:textFill>
              </w:rPr>
              <w:t>吴能表（西南大学）</w:t>
            </w:r>
            <w:r>
              <w:rPr>
                <w:rStyle w:val="11"/>
                <w:rFonts w:hint="eastAsia" w:ascii="仿宋" w:hAnsi="仿宋" w:eastAsia="仿宋" w:cs="仿宋"/>
                <w:i w:val="0"/>
                <w:color w:val="000000" w:themeColor="text1"/>
                <w:kern w:val="2"/>
                <w:sz w:val="24"/>
                <w:szCs w:val="24"/>
                <w:highlight w:val="none"/>
                <w:shd w:val="clear" w:color="auto" w:fill="auto"/>
                <w:lang w:val="en-US" w:eastAsia="zh-CN"/>
                <w14:textFill>
                  <w14:solidFill>
                    <w14:schemeClr w14:val="tx1"/>
                  </w14:solidFill>
                </w14:textFill>
              </w:rPr>
              <w:t>,</w:t>
            </w:r>
            <w:r>
              <w:rPr>
                <w:rStyle w:val="10"/>
                <w:rFonts w:hint="eastAsia" w:ascii="仿宋" w:hAnsi="仿宋" w:eastAsia="仿宋" w:cs="仿宋"/>
                <w:i w:val="0"/>
                <w:color w:val="000000" w:themeColor="text1"/>
                <w:kern w:val="2"/>
                <w:sz w:val="24"/>
                <w:szCs w:val="24"/>
                <w:highlight w:val="none"/>
                <w:shd w:val="clear" w:color="auto" w:fill="auto"/>
                <w:lang w:val="en-US" w:eastAsia="zh-CN"/>
                <w14:textFill>
                  <w14:solidFill>
                    <w14:schemeClr w14:val="tx1"/>
                  </w14:solidFill>
                </w14:textFill>
              </w:rPr>
              <w:t>白智宏（西南大学）、</w:t>
            </w:r>
            <w:r>
              <w:rPr>
                <w:rStyle w:val="7"/>
                <w:rFonts w:hint="eastAsia" w:ascii="仿宋" w:hAnsi="仿宋" w:eastAsia="仿宋" w:cs="仿宋"/>
                <w:i w:val="0"/>
                <w:color w:val="000000" w:themeColor="text1"/>
                <w:kern w:val="0"/>
                <w:sz w:val="24"/>
                <w:szCs w:val="24"/>
                <w:highlight w:val="none"/>
                <w:shd w:val="clear" w:color="auto" w:fill="auto"/>
                <w:lang w:val="en-US" w:eastAsia="zh-CN"/>
                <w14:textFill>
                  <w14:solidFill>
                    <w14:schemeClr w14:val="tx1"/>
                  </w14:solidFill>
                </w14:textFill>
              </w:rPr>
              <w:t>邹逢兴（国防科技大学）、陆国栋（浙江大学）,孟长功（大连理工大学）,马知恩（西安交通大学）,李尚志（北京航空航天大学）、傅钢善（陕西师范大学）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40.75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4</w:t>
            </w:r>
          </w:p>
        </w:tc>
        <w:tc>
          <w:tcPr>
            <w:tcW w:w="3006"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高等教育法规概论</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t>程晋宽、张乐天（南京师范大学）、黄忠敬（华东师范大学）、查海波</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16.41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shd w:val="clear" w:color="auto" w:fill="auto"/>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5</w:t>
            </w:r>
          </w:p>
        </w:tc>
        <w:tc>
          <w:tcPr>
            <w:tcW w:w="300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FFFFFF" w:themeFill="background1"/>
                <w:lang w:val="en-US" w:eastAsia="zh-CN" w:bidi="ar-SA"/>
                <w14:textFill>
                  <w14:solidFill>
                    <w14:schemeClr w14:val="tx1"/>
                  </w14:solidFill>
                </w14:textFill>
              </w:rPr>
              <w:t>高校教师职业道德修养</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7"/>
                <w:rFonts w:hint="eastAsia" w:ascii="仿宋" w:hAnsi="仿宋" w:eastAsia="仿宋" w:cs="仿宋"/>
                <w:b w:val="0"/>
                <w:bCs/>
                <w:color w:val="000000" w:themeColor="text1"/>
                <w:kern w:val="2"/>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林崇德（北京师范大学）、吴文虎（清华大学）、颜静兰、南国农（西安交通大学）、胡德海（西北师范大学）、李天凤</w:t>
            </w:r>
            <w:r>
              <w:rPr>
                <w:rStyle w:val="7"/>
                <w:rFonts w:hint="eastAsia" w:ascii="仿宋" w:hAnsi="仿宋" w:eastAsia="仿宋" w:cs="仿宋"/>
                <w:color w:val="000000" w:themeColor="text1"/>
                <w:kern w:val="2"/>
                <w:sz w:val="24"/>
                <w:szCs w:val="24"/>
                <w:highlight w:val="none"/>
                <w:shd w:val="clear" w:color="auto" w:fill="auto"/>
                <w:lang w:val="en-US" w:eastAsia="zh-CN" w:bidi="ar-SA"/>
                <w14:textFill>
                  <w14:solidFill>
                    <w14:schemeClr w14:val="tx1"/>
                  </w14:solidFill>
                </w14:textFill>
              </w:rPr>
              <w:t>（云南师范大学）</w:t>
            </w: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 xml:space="preserve">、冯博琴（西安交通大学）、 </w:t>
            </w:r>
            <w:r>
              <w:rPr>
                <w:rStyle w:val="7"/>
                <w:rFonts w:hint="eastAsia" w:ascii="仿宋" w:hAnsi="仿宋" w:eastAsia="仿宋" w:cs="仿宋"/>
                <w:strike w:val="0"/>
                <w:dstrike w:val="0"/>
                <w:color w:val="000000" w:themeColor="text1"/>
                <w:kern w:val="0"/>
                <w:sz w:val="24"/>
                <w:szCs w:val="24"/>
                <w:highlight w:val="none"/>
                <w:shd w:val="clear" w:color="auto" w:fill="auto"/>
                <w:lang w:val="en-US" w:eastAsia="zh-CN" w:bidi="ar-SA"/>
                <w14:textFill>
                  <w14:solidFill>
                    <w14:schemeClr w14:val="tx1"/>
                  </w14:solidFill>
                </w14:textFill>
              </w:rPr>
              <w:t>余小波（湖南大学）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highlight w:val="none"/>
                <w:shd w:val="clear" w:color="auto" w:fill="auto"/>
                <w:lang w:val="en-US" w:eastAsia="zh-CN" w:bidi="ar-SA"/>
                <w14:textFill>
                  <w14:solidFill>
                    <w14:schemeClr w14:val="tx1"/>
                  </w14:solidFill>
                </w14:textFill>
              </w:rPr>
              <w:t>37.98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p>
        </w:tc>
        <w:tc>
          <w:tcPr>
            <w:tcW w:w="3006"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总学时</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7"/>
                <w:rFonts w:hint="eastAsia" w:ascii="仿宋" w:hAnsi="仿宋" w:eastAsia="仿宋" w:cs="仿宋"/>
                <w:b w:val="0"/>
                <w:bCs/>
                <w:color w:val="000000" w:themeColor="text1"/>
                <w:kern w:val="2"/>
                <w:sz w:val="24"/>
                <w:szCs w:val="24"/>
                <w:shd w:val="clear" w:color="auto" w:fill="auto"/>
                <w:lang w:val="en-US" w:eastAsia="zh-CN" w:bidi="ar-SA"/>
                <w14:textFill>
                  <w14:solidFill>
                    <w14:schemeClr w14:val="tx1"/>
                  </w14:solidFill>
                </w14:textFill>
              </w:rPr>
            </w:pP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pPr>
            <w:r>
              <w:rPr>
                <w:rStyle w:val="7"/>
                <w:rFonts w:hint="eastAsia" w:ascii="仿宋" w:hAnsi="仿宋" w:eastAsia="仿宋" w:cs="仿宋"/>
                <w:b w:val="0"/>
                <w:bCs/>
                <w:color w:val="000000" w:themeColor="text1"/>
                <w:kern w:val="0"/>
                <w:sz w:val="24"/>
                <w:szCs w:val="24"/>
                <w:shd w:val="clear" w:color="auto" w:fill="auto"/>
                <w:lang w:val="en-US" w:eastAsia="zh-CN" w:bidi="ar-SA"/>
                <w14:textFill>
                  <w14:solidFill>
                    <w14:schemeClr w14:val="tx1"/>
                  </w14:solidFill>
                </w14:textFill>
              </w:rPr>
              <w:t>181.21</w:t>
            </w:r>
          </w:p>
        </w:tc>
      </w:tr>
    </w:tbl>
    <w:p>
      <w:pPr>
        <w:keepNext w:val="0"/>
        <w:keepLines w:val="0"/>
        <w:pageBreakBefore w:val="0"/>
        <w:widowControl/>
        <w:shd w:val="clear"/>
        <w:kinsoku/>
        <w:wordWrap/>
        <w:overflowPunct/>
        <w:topLinePunct w:val="0"/>
        <w:autoSpaceDE/>
        <w:autoSpaceDN/>
        <w:bidi w:val="0"/>
        <w:adjustRightInd/>
        <w:snapToGrid/>
        <w:spacing w:line="340" w:lineRule="exact"/>
        <w:jc w:val="both"/>
        <w:textAlignment w:val="baseline"/>
        <w:rPr>
          <w:rStyle w:val="7"/>
          <w:rFonts w:hint="eastAsia" w:ascii="仿宋" w:hAnsi="仿宋" w:eastAsia="仿宋" w:cs="仿宋"/>
          <w:color w:val="auto"/>
          <w:w w:val="90"/>
          <w:kern w:val="2"/>
          <w:sz w:val="24"/>
          <w:szCs w:val="24"/>
          <w:shd w:val="clear" w:color="auto" w:fill="auto"/>
          <w:lang w:val="en-US" w:eastAsia="zh-CN" w:bidi="ar-SA"/>
        </w:rPr>
      </w:pPr>
    </w:p>
    <w:tbl>
      <w:tblPr>
        <w:tblStyle w:val="5"/>
        <w:tblW w:w="10411" w:type="dxa"/>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4575"/>
        <w:gridCol w:w="4135"/>
        <w:gridCol w:w="10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color w:val="auto"/>
                <w:kern w:val="2"/>
                <w:sz w:val="24"/>
                <w:szCs w:val="24"/>
                <w:shd w:val="clear" w:color="auto" w:fill="auto"/>
                <w:lang w:val="en-US" w:eastAsia="zh-CN" w:bidi="ar-SA"/>
              </w:rPr>
            </w:pPr>
            <w:r>
              <w:rPr>
                <w:rStyle w:val="7"/>
                <w:rFonts w:hint="eastAsia" w:ascii="仿宋" w:hAnsi="仿宋" w:eastAsia="仿宋" w:cs="仿宋"/>
                <w:b/>
                <w:color w:val="auto"/>
                <w:kern w:val="2"/>
                <w:sz w:val="24"/>
                <w:szCs w:val="24"/>
                <w:shd w:val="clear" w:color="auto" w:fill="auto"/>
                <w:lang w:val="en-US" w:eastAsia="zh-CN" w:bidi="ar-SA"/>
              </w:rPr>
              <w:t>选修课目录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color w:val="auto"/>
                <w:kern w:val="2"/>
                <w:sz w:val="24"/>
                <w:szCs w:val="24"/>
                <w:shd w:val="clear" w:color="auto" w:fill="auto"/>
                <w:lang w:val="en-US" w:eastAsia="zh-CN" w:bidi="ar-SA"/>
              </w:rPr>
            </w:pPr>
            <w:r>
              <w:rPr>
                <w:rStyle w:val="7"/>
                <w:rFonts w:hint="eastAsia" w:ascii="仿宋" w:hAnsi="仿宋" w:eastAsia="仿宋" w:cs="仿宋"/>
                <w:b/>
                <w:color w:val="auto"/>
                <w:kern w:val="2"/>
                <w:sz w:val="24"/>
                <w:szCs w:val="24"/>
                <w:shd w:val="clear" w:color="auto" w:fill="auto"/>
                <w:lang w:val="en-US" w:eastAsia="zh-CN" w:bidi="ar-SA"/>
              </w:rPr>
              <w:t>一类课程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序号</w:t>
            </w:r>
          </w:p>
        </w:tc>
        <w:tc>
          <w:tcPr>
            <w:tcW w:w="457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课程名称</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主讲教师</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时长</w:t>
            </w:r>
          </w:p>
          <w:p>
            <w:pPr>
              <w:shd w:val="clear"/>
              <w:spacing w:line="240" w:lineRule="auto"/>
              <w:jc w:val="center"/>
              <w:textAlignment w:val="baseline"/>
              <w:rPr>
                <w:rStyle w:val="7"/>
                <w:rFonts w:hint="eastAsia" w:ascii="仿宋" w:hAnsi="仿宋" w:eastAsia="仿宋" w:cs="仿宋"/>
                <w:b w:val="0"/>
                <w:bCs/>
                <w:color w:val="auto"/>
                <w:kern w:val="2"/>
                <w:sz w:val="24"/>
                <w:szCs w:val="24"/>
                <w:shd w:val="clear" w:color="auto" w:fill="auto"/>
                <w:lang w:val="en-US" w:eastAsia="zh-CN" w:bidi="ar-SA"/>
              </w:rPr>
            </w:pPr>
            <w:r>
              <w:rPr>
                <w:rStyle w:val="7"/>
                <w:rFonts w:hint="eastAsia" w:ascii="仿宋" w:hAnsi="仿宋" w:eastAsia="仿宋" w:cs="仿宋"/>
                <w:b w:val="0"/>
                <w:bCs/>
                <w:color w:val="auto"/>
                <w:kern w:val="2"/>
                <w:sz w:val="24"/>
                <w:szCs w:val="24"/>
                <w:shd w:val="clear" w:color="auto" w:fill="auto"/>
                <w:lang w:val="en-US" w:eastAsia="zh-CN" w:bidi="ar-SA"/>
              </w:rPr>
              <w:t>（学时）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0"/>
                <w:sz w:val="24"/>
                <w:szCs w:val="24"/>
                <w:shd w:val="clear" w:color="auto" w:fill="auto"/>
                <w:lang w:val="en-US" w:eastAsia="zh-CN" w:bidi="ar-SA"/>
              </w:rPr>
              <w:t>1</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习近平总书记关于教育的重要论述引领教育强国理论与实践</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杨志成（首都师范大学）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2.89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2</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0"/>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科学谋发展，奋进“十四五”——谈谈“十四五”时期我国高等教育的历史方位和主要任务</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0"/>
                <w:sz w:val="24"/>
                <w:szCs w:val="24"/>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瞿振元（中国高等教育协会）</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3</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bCs/>
                <w:color w:val="auto"/>
                <w:kern w:val="0"/>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习近平青年教育思想贯穿立德树人全过程的思考</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bCs/>
                <w:color w:val="auto"/>
                <w:kern w:val="0"/>
                <w:sz w:val="24"/>
                <w:szCs w:val="24"/>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冯培（中共首都经济贸易大学）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3.24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4</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Style w:val="18"/>
                <w:rFonts w:hint="eastAsia" w:ascii="仿宋" w:hAnsi="仿宋" w:eastAsia="仿宋" w:cs="仿宋"/>
                <w:color w:val="auto"/>
                <w:sz w:val="24"/>
                <w:szCs w:val="24"/>
                <w:lang w:val="en-US" w:eastAsia="zh-CN" w:bidi="ar"/>
              </w:rPr>
              <w:t>求真务本，立德树人</w:t>
            </w:r>
            <w:r>
              <w:rPr>
                <w:rStyle w:val="19"/>
                <w:rFonts w:hint="eastAsia" w:ascii="仿宋" w:hAnsi="仿宋" w:eastAsia="仿宋" w:cs="仿宋"/>
                <w:color w:val="auto"/>
                <w:sz w:val="24"/>
                <w:szCs w:val="24"/>
                <w:lang w:val="en-US" w:eastAsia="zh-CN" w:bidi="ar"/>
              </w:rPr>
              <w:t>——</w:t>
            </w:r>
            <w:r>
              <w:rPr>
                <w:rStyle w:val="18"/>
                <w:rFonts w:hint="eastAsia" w:ascii="仿宋" w:hAnsi="仿宋" w:eastAsia="仿宋" w:cs="仿宋"/>
                <w:color w:val="auto"/>
                <w:sz w:val="24"/>
                <w:szCs w:val="24"/>
                <w:lang w:val="en-US" w:eastAsia="zh-CN" w:bidi="ar"/>
              </w:rPr>
              <w:t>学习贯彻全国教育大会精神，培养具有工匠精神的职业人才</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shd w:val="clear" w:color="auto" w:fill="auto"/>
                <w:lang w:val="en-US" w:eastAsia="zh-CN" w:bidi="ar-SA"/>
              </w:rPr>
            </w:pPr>
            <w:r>
              <w:rPr>
                <w:rFonts w:hint="eastAsia" w:ascii="仿宋" w:hAnsi="仿宋" w:eastAsia="仿宋" w:cs="仿宋"/>
                <w:i w:val="0"/>
                <w:iCs w:val="0"/>
                <w:color w:val="auto"/>
                <w:kern w:val="0"/>
                <w:sz w:val="24"/>
                <w:szCs w:val="24"/>
                <w:u w:val="none"/>
                <w:lang w:val="en-US" w:eastAsia="zh-CN" w:bidi="ar"/>
              </w:rPr>
              <w:t>赵开华</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shd w:val="clear" w:color="auto" w:fill="auto"/>
                <w:lang w:val="en-US" w:eastAsia="zh-CN" w:bidi="ar-SA"/>
              </w:rPr>
            </w:pPr>
            <w:r>
              <w:rPr>
                <w:rStyle w:val="7"/>
                <w:rFonts w:hint="eastAsia" w:ascii="仿宋" w:hAnsi="仿宋" w:eastAsia="仿宋" w:cs="仿宋"/>
                <w:color w:val="auto"/>
                <w:kern w:val="2"/>
                <w:sz w:val="24"/>
                <w:szCs w:val="24"/>
                <w:shd w:val="clear" w:color="auto" w:fill="auto"/>
                <w:lang w:val="en-US" w:eastAsia="zh-CN" w:bidi="ar-SA"/>
              </w:rPr>
              <w:t>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5</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不忘初心砥砺前行：深入学习习近平总书记关于新时代师德师风建设的重要论述</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曲洪波（沈阳航空航天大学）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6</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深刻领会习近平教育重要论述，全面加强新时代高校师德师风建设</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徐永利（北京联合大学）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7</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新媒体与舆情管理——从习近平总书记网络强国战略思想讲起</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田丽（北京大学）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8</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习近平新时代中国特色社会主义思想导学</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周文彰（国家行政学院）</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9</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中国梦 教育梦 教师梦</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冯宋彻（中国传媒大学）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10</w:t>
            </w:r>
          </w:p>
        </w:tc>
        <w:tc>
          <w:tcPr>
            <w:tcW w:w="4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怎样成长为一名优秀的大学教师</w:t>
            </w:r>
          </w:p>
        </w:tc>
        <w:tc>
          <w:tcPr>
            <w:tcW w:w="4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马知恩 （西安交通大学）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w:t>
            </w:r>
          </w:p>
        </w:tc>
        <w:tc>
          <w:tcPr>
            <w:tcW w:w="457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深入学习习近平总书记关于教育的重要论述</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石中英（清华大学）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457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一类选修学时</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34.17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b/>
                <w:bCs/>
                <w:color w:val="auto"/>
                <w:kern w:val="2"/>
                <w:sz w:val="24"/>
                <w:szCs w:val="24"/>
                <w:highlight w:val="none"/>
                <w:shd w:val="clear" w:color="auto" w:fill="auto"/>
                <w:lang w:val="en-US" w:eastAsia="zh-CN" w:bidi="ar-SA"/>
              </w:rPr>
              <w:t>二类课程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b w:val="0"/>
                <w:bCs/>
                <w:color w:val="auto"/>
                <w:kern w:val="2"/>
                <w:sz w:val="24"/>
                <w:szCs w:val="24"/>
                <w:highlight w:val="none"/>
                <w:shd w:val="clear" w:color="auto" w:fill="auto"/>
                <w:lang w:val="en-US" w:eastAsia="zh-CN" w:bidi="ar-SA"/>
              </w:rPr>
            </w:pPr>
            <w:r>
              <w:rPr>
                <w:rStyle w:val="7"/>
                <w:rFonts w:hint="eastAsia" w:ascii="仿宋" w:hAnsi="仿宋" w:eastAsia="仿宋" w:cs="仿宋"/>
                <w:b w:val="0"/>
                <w:bCs/>
                <w:color w:val="auto"/>
                <w:kern w:val="2"/>
                <w:sz w:val="24"/>
                <w:szCs w:val="24"/>
                <w:highlight w:val="none"/>
                <w:shd w:val="clear" w:color="auto" w:fill="auto"/>
                <w:lang w:val="en-US" w:eastAsia="zh-CN" w:bidi="ar-SA"/>
              </w:rPr>
              <w:t>序号</w:t>
            </w:r>
          </w:p>
        </w:tc>
        <w:tc>
          <w:tcPr>
            <w:tcW w:w="457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b w:val="0"/>
                <w:bCs/>
                <w:color w:val="auto"/>
                <w:kern w:val="2"/>
                <w:sz w:val="24"/>
                <w:szCs w:val="24"/>
                <w:highlight w:val="none"/>
                <w:shd w:val="clear" w:color="auto" w:fill="auto"/>
                <w:lang w:val="en-US" w:eastAsia="zh-CN" w:bidi="ar-SA"/>
              </w:rPr>
            </w:pPr>
            <w:r>
              <w:rPr>
                <w:rStyle w:val="7"/>
                <w:rFonts w:hint="eastAsia" w:ascii="仿宋" w:hAnsi="仿宋" w:eastAsia="仿宋" w:cs="仿宋"/>
                <w:b w:val="0"/>
                <w:bCs/>
                <w:color w:val="auto"/>
                <w:kern w:val="2"/>
                <w:sz w:val="24"/>
                <w:szCs w:val="24"/>
                <w:highlight w:val="none"/>
                <w:shd w:val="clear" w:color="auto" w:fill="auto"/>
                <w:lang w:val="en-US" w:eastAsia="zh-CN" w:bidi="ar-SA"/>
              </w:rPr>
              <w:t>课程名称</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b w:val="0"/>
                <w:bCs/>
                <w:color w:val="auto"/>
                <w:kern w:val="2"/>
                <w:sz w:val="24"/>
                <w:szCs w:val="24"/>
                <w:highlight w:val="none"/>
                <w:shd w:val="clear" w:color="auto" w:fill="auto"/>
                <w:lang w:val="en-US" w:eastAsia="zh-CN" w:bidi="ar-SA"/>
              </w:rPr>
            </w:pPr>
            <w:r>
              <w:rPr>
                <w:rStyle w:val="7"/>
                <w:rFonts w:hint="eastAsia" w:ascii="仿宋" w:hAnsi="仿宋" w:eastAsia="仿宋" w:cs="仿宋"/>
                <w:b w:val="0"/>
                <w:bCs/>
                <w:color w:val="auto"/>
                <w:kern w:val="2"/>
                <w:sz w:val="24"/>
                <w:szCs w:val="24"/>
                <w:highlight w:val="none"/>
                <w:shd w:val="clear" w:color="auto" w:fill="auto"/>
                <w:lang w:val="en-US" w:eastAsia="zh-CN" w:bidi="ar-SA"/>
              </w:rPr>
              <w:t>主讲教师</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b w:val="0"/>
                <w:bCs/>
                <w:color w:val="auto"/>
                <w:kern w:val="2"/>
                <w:sz w:val="24"/>
                <w:szCs w:val="24"/>
                <w:highlight w:val="none"/>
                <w:shd w:val="clear" w:color="auto" w:fill="auto"/>
                <w:lang w:val="en-US" w:eastAsia="zh-CN" w:bidi="ar-SA"/>
              </w:rPr>
            </w:pPr>
            <w:r>
              <w:rPr>
                <w:rStyle w:val="7"/>
                <w:rFonts w:hint="eastAsia" w:ascii="仿宋" w:hAnsi="仿宋" w:eastAsia="仿宋" w:cs="仿宋"/>
                <w:b w:val="0"/>
                <w:bCs/>
                <w:color w:val="auto"/>
                <w:kern w:val="2"/>
                <w:sz w:val="24"/>
                <w:szCs w:val="24"/>
                <w:highlight w:val="none"/>
                <w:shd w:val="clear" w:color="auto" w:fill="auto"/>
                <w:lang w:val="en-US" w:eastAsia="zh-CN" w:bidi="ar-SA"/>
              </w:rPr>
              <w:t>时长</w:t>
            </w:r>
          </w:p>
          <w:p>
            <w:pPr>
              <w:shd w:val="clear"/>
              <w:spacing w:line="240" w:lineRule="auto"/>
              <w:jc w:val="center"/>
              <w:textAlignment w:val="baseline"/>
              <w:rPr>
                <w:rFonts w:hint="eastAsia" w:ascii="仿宋" w:hAnsi="仿宋" w:eastAsia="仿宋" w:cs="仿宋"/>
                <w:b w:val="0"/>
                <w:bCs/>
                <w:color w:val="auto"/>
                <w:kern w:val="2"/>
                <w:sz w:val="24"/>
                <w:szCs w:val="24"/>
                <w:highlight w:val="none"/>
                <w:shd w:val="clear" w:color="auto" w:fill="auto"/>
                <w:lang w:val="en-US" w:eastAsia="zh-CN" w:bidi="ar-SA"/>
              </w:rPr>
            </w:pPr>
            <w:r>
              <w:rPr>
                <w:rStyle w:val="7"/>
                <w:rFonts w:hint="eastAsia" w:ascii="仿宋" w:hAnsi="仿宋" w:eastAsia="仿宋" w:cs="仿宋"/>
                <w:b w:val="0"/>
                <w:bCs/>
                <w:color w:val="auto"/>
                <w:kern w:val="2"/>
                <w:sz w:val="24"/>
                <w:szCs w:val="24"/>
                <w:highlight w:val="none"/>
                <w:shd w:val="clear" w:color="auto" w:fill="auto"/>
                <w:lang w:val="en-US" w:eastAsia="zh-CN" w:bidi="ar-SA"/>
              </w:rPr>
              <w:t>（学时）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教师的角色定位与师德师风</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鲍善冰（山西大学）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做幸福而自信的“四有”教师</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寇彧（北京师范大学）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课程思政的教学设计与实施</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张智强（上海中医药大学）、蔡巧玲、朱月龙（河北师范大学）、陈峻（东南大学）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12.92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4</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高校课程思政建设的实施路径——《高等学校课程思政建设指导纲要》解读</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张智强（上海中医药大学）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5</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课程思政与优质课程建设</w:t>
            </w:r>
            <w:r>
              <w:rPr>
                <w:rStyle w:val="20"/>
                <w:rFonts w:hint="eastAsia" w:ascii="仿宋" w:hAnsi="仿宋" w:eastAsia="仿宋" w:cs="仿宋"/>
                <w:color w:val="auto"/>
                <w:sz w:val="24"/>
                <w:szCs w:val="24"/>
                <w:highlight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如何打造课程思政线上线下精品课</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张黎声（上海中医药大学）、于歆杰（清华大学）、魏琳（西安交通大学）、胡国胜（华南师范大学）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6</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改革开放以来我国高等教育政策法规建设的回顾与反思</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张乐天（南京师范大学）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7</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大数据视角下的教学范式创新</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周华丽（北京联合大学）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8</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人工智能在课堂革命中的应用</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杨东杰（华南理工大学）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9</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OBE（成果导向教育）教育教学理念与实施</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郭江峰（浙江理工大学）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0"/>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互联网+创新创业教育的教学实践和案例</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李华晶（北京林业大学）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高校青年教师如何提高创新创业能力</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谷贤林（北京师范大学）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12</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人工智能的启示与智慧教育的愿景</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周傲英（华东师范大学）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13</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学术诚信与学术规范</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岳云强（中国人民大学）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14</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Style w:val="21"/>
                <w:rFonts w:hint="eastAsia" w:ascii="仿宋" w:hAnsi="仿宋" w:eastAsia="仿宋" w:cs="仿宋"/>
                <w:color w:val="auto"/>
                <w:sz w:val="24"/>
                <w:szCs w:val="24"/>
                <w:highlight w:val="none"/>
                <w:lang w:val="en-US" w:eastAsia="zh-CN" w:bidi="ar"/>
              </w:rPr>
              <w:t>回归课堂，以研促教</w:t>
            </w:r>
            <w:r>
              <w:rPr>
                <w:rStyle w:val="22"/>
                <w:rFonts w:hint="eastAsia" w:ascii="仿宋" w:hAnsi="仿宋" w:eastAsia="仿宋" w:cs="仿宋"/>
                <w:color w:val="auto"/>
                <w:sz w:val="24"/>
                <w:szCs w:val="24"/>
                <w:highlight w:val="none"/>
                <w:lang w:val="en-US" w:eastAsia="zh-CN" w:bidi="ar"/>
              </w:rPr>
              <w:t>——</w:t>
            </w:r>
            <w:r>
              <w:rPr>
                <w:rStyle w:val="21"/>
                <w:rFonts w:hint="eastAsia" w:ascii="仿宋" w:hAnsi="仿宋" w:eastAsia="仿宋" w:cs="仿宋"/>
                <w:color w:val="auto"/>
                <w:sz w:val="24"/>
                <w:szCs w:val="24"/>
                <w:highlight w:val="none"/>
                <w:lang w:val="en-US" w:eastAsia="zh-CN" w:bidi="ar"/>
              </w:rPr>
              <w:t>高校教师教学学术能力提升</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张树永（山东大学）、田凌晖（复旦大学）、高琪、李兴洲（北京师范大学）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15</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青年教师教学方法专题（理工）</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龚沛曾（同济大学）、马知恩（西安交通大学）、李芒（北京师范大学）等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16</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青年教师教学方法专题（文科）</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张征（中国人民大学）、张红峻（北京理工大学）、李芒（北京师范大学）等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17</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青年教师成长系列——高校青年教师素质培养与教学能力提升</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李尚志（北京航空航天大学）、姚小玲（北京航空航天大学）、刘宝存（北京师范大学）等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18</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高校新进教师素质培养与教学能力提升（理工）</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张慕葏（清华大学）、姚小玲（北京航空航天大学）、熊永红（华中科技大学）等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19</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高校新进教师素质培养与教学能力提升（文科）</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张慕葏（清华大学）、姚小玲（北京航空航天大学）、郑寅达（华东师范大学）等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8.84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20</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高校教师多媒体课件制作技能提升</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裴纯礼（北京师范大学）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21</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Style w:val="24"/>
                <w:rFonts w:hint="eastAsia" w:ascii="仿宋" w:hAnsi="仿宋" w:eastAsia="仿宋" w:cs="仿宋"/>
                <w:color w:val="auto"/>
                <w:sz w:val="24"/>
                <w:szCs w:val="24"/>
                <w:highlight w:val="none"/>
                <w:lang w:val="en-US" w:eastAsia="zh-CN" w:bidi="ar"/>
              </w:rPr>
              <w:t>教师嗓音训练及保健</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彭莉佳（星海音乐学院）</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22</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教师素养与形象管理</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w w:val="100"/>
                <w:kern w:val="0"/>
                <w:sz w:val="24"/>
                <w:szCs w:val="24"/>
                <w:highlight w:val="none"/>
                <w:u w:val="none"/>
                <w:lang w:val="en-US" w:eastAsia="zh-CN" w:bidi="ar"/>
              </w:rPr>
              <w:t>张奇伟（北京师范大学）、刘庆龙（清华大学）等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23</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教学名师从教经验谈系列：大学教师从哪里起步（文）</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李霄翔（东南大学）、张征（人民大学）、曹顺庆</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24</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教学名师从教经验谈系列：大学教师从哪里起步（理工）</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冯博琴（西安交通大学）、王金发（中山大学）、朱士信（合肥工业大学）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25</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当代高校教师的职业素养和专业成长</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李天凤（云南师范大学）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26</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高校青年教师的时间管理与压力纾解</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刘破资（清华大学）、蔺桂瑞（首都师范大学）、国智丹（中山大学）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11.11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27</w:t>
            </w:r>
          </w:p>
        </w:tc>
        <w:tc>
          <w:tcPr>
            <w:tcW w:w="45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慕课制作之课程设计</w:t>
            </w:r>
          </w:p>
        </w:tc>
        <w:tc>
          <w:tcPr>
            <w:tcW w:w="4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7"/>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徐明星（中国人民大学）、师雪霖（清华大学）、梁君健（清华大学）等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28</w:t>
            </w:r>
          </w:p>
        </w:tc>
        <w:tc>
          <w:tcPr>
            <w:tcW w:w="4575" w:type="dxa"/>
            <w:tcBorders>
              <w:top w:val="single" w:color="000000" w:sz="4" w:space="0"/>
              <w:left w:val="single" w:color="000000" w:sz="4" w:space="0"/>
              <w:bottom w:val="single" w:color="000000" w:sz="4" w:space="0"/>
              <w:right w:val="single" w:color="000000" w:sz="4" w:space="0"/>
            </w:tcBorders>
            <w:vAlign w:val="center"/>
          </w:tcPr>
          <w:p>
            <w:pPr>
              <w:widowControl/>
              <w:shd w:val="clear"/>
              <w:jc w:val="both"/>
              <w:textAlignment w:val="bottom"/>
              <w:rPr>
                <w:rStyle w:val="7"/>
                <w:rFonts w:hint="eastAsia" w:ascii="仿宋" w:hAnsi="仿宋" w:eastAsia="仿宋" w:cs="仿宋"/>
                <w:i w:val="0"/>
                <w:color w:val="auto"/>
                <w:kern w:val="0"/>
                <w:sz w:val="24"/>
                <w:szCs w:val="24"/>
                <w:highlight w:val="none"/>
                <w:shd w:val="clear" w:color="auto" w:fill="auto"/>
                <w:lang w:val="en-US" w:eastAsia="zh-CN"/>
              </w:rPr>
            </w:pPr>
            <w:r>
              <w:rPr>
                <w:rStyle w:val="7"/>
                <w:rFonts w:hint="eastAsia" w:ascii="仿宋" w:hAnsi="仿宋" w:eastAsia="仿宋" w:cs="仿宋"/>
                <w:i w:val="0"/>
                <w:color w:val="auto"/>
                <w:kern w:val="0"/>
                <w:sz w:val="24"/>
                <w:szCs w:val="24"/>
                <w:highlight w:val="none"/>
                <w:shd w:val="clear" w:color="auto" w:fill="auto"/>
                <w:lang w:val="en-US" w:eastAsia="zh-CN"/>
              </w:rPr>
              <w:t>数字化教育新形态：基于AI技术的教育教学实践</w:t>
            </w:r>
          </w:p>
        </w:tc>
        <w:tc>
          <w:tcPr>
            <w:tcW w:w="4135" w:type="dxa"/>
            <w:tcBorders>
              <w:top w:val="single" w:color="000000" w:sz="4" w:space="0"/>
              <w:left w:val="single" w:color="000000" w:sz="4" w:space="0"/>
              <w:bottom w:val="single" w:color="000000" w:sz="4" w:space="0"/>
              <w:right w:val="single" w:color="000000" w:sz="4" w:space="0"/>
            </w:tcBorders>
            <w:vAlign w:val="center"/>
          </w:tcPr>
          <w:p>
            <w:pPr>
              <w:widowControl/>
              <w:shd w:val="clear"/>
              <w:jc w:val="both"/>
              <w:textAlignment w:val="bottom"/>
              <w:rPr>
                <w:rStyle w:val="7"/>
                <w:rFonts w:hint="eastAsia" w:ascii="仿宋" w:hAnsi="仿宋" w:eastAsia="仿宋" w:cs="仿宋"/>
                <w:i w:val="0"/>
                <w:color w:val="auto"/>
                <w:kern w:val="0"/>
                <w:sz w:val="24"/>
                <w:szCs w:val="24"/>
                <w:highlight w:val="none"/>
                <w:shd w:val="clear" w:color="auto" w:fill="auto"/>
                <w:lang w:val="en-US" w:eastAsia="zh-CN"/>
              </w:rPr>
            </w:pPr>
            <w:r>
              <w:rPr>
                <w:rStyle w:val="7"/>
                <w:rFonts w:hint="eastAsia" w:ascii="仿宋" w:hAnsi="仿宋" w:eastAsia="仿宋" w:cs="仿宋"/>
                <w:i w:val="0"/>
                <w:color w:val="auto"/>
                <w:kern w:val="0"/>
                <w:sz w:val="24"/>
                <w:szCs w:val="24"/>
                <w:highlight w:val="none"/>
                <w:shd w:val="clear" w:color="auto" w:fill="auto"/>
                <w:lang w:val="en-US" w:eastAsia="zh-CN"/>
              </w:rPr>
              <w:t>黄昌勤（浙江师范大学）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hd w:val="clear"/>
              <w:jc w:val="center"/>
              <w:textAlignment w:val="bottom"/>
              <w:rPr>
                <w:rStyle w:val="7"/>
                <w:rFonts w:hint="eastAsia" w:ascii="仿宋" w:hAnsi="仿宋" w:eastAsia="仿宋" w:cs="仿宋"/>
                <w:i w:val="0"/>
                <w:color w:val="auto"/>
                <w:kern w:val="0"/>
                <w:sz w:val="24"/>
                <w:szCs w:val="24"/>
                <w:highlight w:val="none"/>
                <w:shd w:val="clear" w:color="auto" w:fill="auto"/>
                <w:lang w:val="en-US" w:eastAsia="zh-CN"/>
              </w:rPr>
            </w:pPr>
            <w:r>
              <w:rPr>
                <w:rStyle w:val="7"/>
                <w:rFonts w:hint="eastAsia" w:ascii="仿宋" w:hAnsi="仿宋" w:eastAsia="仿宋" w:cs="仿宋"/>
                <w:i w:val="0"/>
                <w:color w:val="auto"/>
                <w:kern w:val="0"/>
                <w:sz w:val="24"/>
                <w:szCs w:val="24"/>
                <w:highlight w:val="none"/>
                <w:shd w:val="clear" w:color="auto" w:fill="auto"/>
                <w:lang w:val="en-US" w:eastAsia="zh-CN"/>
              </w:rPr>
              <w:t>3.45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4575" w:type="dxa"/>
            <w:tcBorders>
              <w:top w:val="single" w:color="000000" w:sz="4" w:space="0"/>
              <w:left w:val="single" w:color="000000" w:sz="4" w:space="0"/>
              <w:bottom w:val="single" w:color="000000" w:sz="4" w:space="0"/>
              <w:right w:val="single" w:color="000000" w:sz="4" w:space="0"/>
            </w:tcBorders>
            <w:vAlign w:val="center"/>
          </w:tcPr>
          <w:p>
            <w:pPr>
              <w:widowControl/>
              <w:shd w:val="clear"/>
              <w:jc w:val="both"/>
              <w:textAlignment w:val="bottom"/>
              <w:rPr>
                <w:rFonts w:hint="eastAsia" w:ascii="仿宋" w:hAnsi="仿宋" w:eastAsia="仿宋" w:cs="仿宋"/>
                <w:i w:val="0"/>
                <w:color w:val="auto"/>
                <w:kern w:val="0"/>
                <w:sz w:val="24"/>
                <w:szCs w:val="24"/>
                <w:highlight w:val="none"/>
                <w:shd w:val="clear" w:color="auto" w:fill="auto"/>
                <w:lang w:val="en-US" w:eastAsia="zh-CN" w:bidi="ar-SA"/>
              </w:rPr>
            </w:pPr>
            <w:r>
              <w:rPr>
                <w:rStyle w:val="7"/>
                <w:rFonts w:hint="eastAsia" w:ascii="仿宋" w:hAnsi="仿宋" w:eastAsia="仿宋" w:cs="仿宋"/>
                <w:i w:val="0"/>
                <w:color w:val="auto"/>
                <w:kern w:val="0"/>
                <w:sz w:val="24"/>
                <w:szCs w:val="24"/>
                <w:highlight w:val="none"/>
                <w:shd w:val="clear" w:color="auto" w:fill="auto"/>
                <w:lang w:val="en-US" w:eastAsia="zh-CN"/>
              </w:rPr>
              <w:t>二类选修学时</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199.26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457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选修课程总学时</w:t>
            </w:r>
          </w:p>
        </w:tc>
        <w:tc>
          <w:tcPr>
            <w:tcW w:w="413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7"/>
                <w:rFonts w:hint="eastAsia" w:ascii="仿宋" w:hAnsi="仿宋" w:eastAsia="仿宋" w:cs="仿宋"/>
                <w:color w:val="auto"/>
                <w:kern w:val="2"/>
                <w:sz w:val="24"/>
                <w:szCs w:val="24"/>
                <w:highlight w:val="none"/>
                <w:shd w:val="clear" w:color="auto" w:fill="auto"/>
                <w:lang w:val="en-US" w:eastAsia="zh-CN" w:bidi="ar-SA"/>
              </w:rPr>
            </w:pPr>
            <w:r>
              <w:rPr>
                <w:rStyle w:val="7"/>
                <w:rFonts w:hint="eastAsia" w:ascii="仿宋" w:hAnsi="仿宋" w:eastAsia="仿宋" w:cs="仿宋"/>
                <w:color w:val="auto"/>
                <w:kern w:val="2"/>
                <w:sz w:val="24"/>
                <w:szCs w:val="24"/>
                <w:highlight w:val="none"/>
                <w:shd w:val="clear" w:color="auto" w:fill="auto"/>
                <w:lang w:val="en-US" w:eastAsia="zh-CN" w:bidi="ar-SA"/>
              </w:rPr>
              <w:t>233.43</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2.教学大纲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参照原国家教委制定的《高等学校教师岗前培训教学指导纲要》执行。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（二）“校本”培训部分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校本培训为高等学校教师教育教学能力提升的重要环节，各高校师资管理部门应根据学校实际情况组织实施校本培训，培训内容包括校史校情、校规专题、教育与教学评价及教师职业能力教学实践培训等。校本培训成绩不合格，不予颁发《黑龙江省高等学校教师岗前培训合格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五、培训时间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2024年岗前培训定于2024年7月1日至2024年8月20日进行，具体时间、日程安排及报名事宜见《关于做好2024年黑龙江省高等学校教师岗前培训工作的通知》。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六、培训管理和要求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各高校要高度重视此项工作，由分管校领导总体负责，学校师资培训部门具体组织实施，选派工作作风严谨、认真负责、有较强管理工作经验的同志具体负责培训工作。培训各环节的工作要采取有效措施、精心组织、科学管理、确保教学质量和培训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2.各高等学校要认真做好“校本”培训部分的组织管理工作，并结合本校实际制定切实可行的实施方案，切实保证“校本”培训质量。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3.切实加强培训过程的管理工作，各高校要跟踪与监控教师学习情况，做好指导与服务，确保教师完成学习任务。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严格考试和考核制度，坚决防止和杜绝考核过程中的弄虚作假和考试中的舞弊现象，纠正各种不正之风，确保岗前培训工作的严肃性和实效性。对考试违纪人员下一年度不允许报考，并通报所在学校。对考试不合格或“校本”培训考核不合格的教师，均须重新修读相关课程，经考核认定，成绩合格后颁发《黑龙江省高等学校教师岗前培训合格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5.建立评估检查和考核机制，省高校师资培训中心将定期组织有关人员对高校教师岗前培训工作实施情况进行评估检查。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七、考核与结业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（一）考核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学员完成不少于80学时的必修课程和不少于20学时的选修课程后，方可参加考试。必修课中《高等教育学》修读学时不少于20学时，《高等教育心理学》修读学时不少于20学时，《高等学校教师教育教学能力》修读学时不少于20学时，《高等教育法规概论》修读学时不少于10学时，《高校教师职业道德修养》修读学时不少于10学时。选修课不少于20学时。为强化高校教师的思想政治素质，切实提高新入职教师的师德修养，选修课目录中的一类课程要求不少于10学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免修学员，非免修必修科目《高等教育法规概论》修读学时不少于10学时，《高校教师职业道德修养》修读学时不少于10学时。选修课需完成不少于20学时，其中选修课目录中的一类课程要求不少于10学时，方可参加考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3.补考学员，需完成补考科目学时要求，方可参加考试。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校本”培训部分由教师所在学校组织考核，按合格、不合格两个档次进行总体评价。本项工作由参训教师所在学校师资管理部门统一组织实施，并于2024年8月31日前，将本校参训教师考核结果电子版报送至黑龙江省高校师资培训中心邮箱hljgspxzx@163.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（二）结业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岗前培训成绩合格者颁发经省教育厅验印的《黑龙江省高等学校教师岗前培训合格证书》，该证书为教师上岗、转正、定职、晋升职称及申请高等学校教师资格证书的必备条件和主要依据。获得该证书人员在申请高等学校教师资格证时可免修、免考笔试科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八、组织领导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为加强对2024年全省高校教师岗前培训工作的组织领导，成立岗前培训工作领导小组，领导小组下设办公室，负责日常工作。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1" w:firstLineChars="100"/>
        <w:textAlignment w:val="auto"/>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领导小组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组  长：</w:t>
      </w:r>
      <w:r>
        <w:rPr>
          <w:rFonts w:hint="eastAsia" w:ascii="Times New Roman" w:hAnsi="Times New Roman" w:eastAsia="仿宋_GB2312" w:cs="Times New Roman"/>
          <w:b w:val="0"/>
          <w:bCs w:val="0"/>
          <w:kern w:val="2"/>
          <w:sz w:val="32"/>
          <w:szCs w:val="32"/>
          <w:lang w:val="en-US" w:eastAsia="zh-CN" w:bidi="ar-SA"/>
        </w:rPr>
        <w:t>姜同河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副组长：</w:t>
      </w:r>
      <w:r>
        <w:rPr>
          <w:rFonts w:hint="eastAsia" w:ascii="Times New Roman" w:hAnsi="Times New Roman" w:eastAsia="仿宋_GB2312" w:cs="Times New Roman"/>
          <w:b w:val="0"/>
          <w:bCs w:val="0"/>
          <w:kern w:val="2"/>
          <w:sz w:val="32"/>
          <w:szCs w:val="32"/>
          <w:lang w:val="en-US" w:eastAsia="zh-CN" w:bidi="ar-SA"/>
        </w:rPr>
        <w:t>马明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成  员：</w:t>
      </w:r>
      <w:r>
        <w:rPr>
          <w:rFonts w:hint="eastAsia" w:ascii="Times New Roman" w:hAnsi="Times New Roman" w:eastAsia="仿宋_GB2312" w:cs="Times New Roman"/>
          <w:b w:val="0"/>
          <w:bCs w:val="0"/>
          <w:kern w:val="2"/>
          <w:sz w:val="32"/>
          <w:szCs w:val="32"/>
          <w:lang w:val="en-US" w:eastAsia="zh-CN" w:bidi="ar-SA"/>
        </w:rPr>
        <w:t>马旭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梁大战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各高校师资培训职能部门负责人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办公室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主  任：</w:t>
      </w:r>
      <w:r>
        <w:rPr>
          <w:rFonts w:hint="eastAsia" w:ascii="Times New Roman" w:hAnsi="Times New Roman" w:eastAsia="仿宋_GB2312" w:cs="Times New Roman"/>
          <w:b w:val="0"/>
          <w:bCs w:val="0"/>
          <w:kern w:val="2"/>
          <w:sz w:val="32"/>
          <w:szCs w:val="32"/>
          <w:lang w:val="en-US" w:eastAsia="zh-CN" w:bidi="ar-SA"/>
        </w:rPr>
        <w:t>石航宇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董晓航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成  员：</w:t>
      </w:r>
      <w:r>
        <w:rPr>
          <w:rFonts w:hint="eastAsia" w:ascii="Times New Roman" w:hAnsi="Times New Roman" w:eastAsia="仿宋_GB2312" w:cs="Times New Roman"/>
          <w:b w:val="0"/>
          <w:bCs w:val="0"/>
          <w:kern w:val="2"/>
          <w:sz w:val="32"/>
          <w:szCs w:val="32"/>
          <w:lang w:val="en-US" w:eastAsia="zh-CN" w:bidi="ar-SA"/>
        </w:rPr>
        <w:t>各高校师资培训职能部门工作人员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 xml:space="preserve">                                黑龙江省高校师资培训中心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 xml:space="preserve">                            2024年6月3日</w:t>
      </w:r>
    </w:p>
    <w:sectPr>
      <w:pgSz w:w="11906" w:h="16838"/>
      <w:pgMar w:top="1020" w:right="1020" w:bottom="1020" w:left="102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3YWM2MTU1MmQ3YjFjNDFjZGQ3MTY2YWNhYmUxNjEifQ=="/>
  </w:docVars>
  <w:rsids>
    <w:rsidRoot w:val="00000000"/>
    <w:rsid w:val="002154DB"/>
    <w:rsid w:val="01A71AD1"/>
    <w:rsid w:val="03E13A92"/>
    <w:rsid w:val="08D53F7E"/>
    <w:rsid w:val="09626456"/>
    <w:rsid w:val="09F050B9"/>
    <w:rsid w:val="0B89326F"/>
    <w:rsid w:val="0D244E26"/>
    <w:rsid w:val="0D4B3C19"/>
    <w:rsid w:val="0EE267F0"/>
    <w:rsid w:val="14FB4DFE"/>
    <w:rsid w:val="178D731C"/>
    <w:rsid w:val="18C22FF0"/>
    <w:rsid w:val="194E3822"/>
    <w:rsid w:val="1B5A5081"/>
    <w:rsid w:val="1BFA1F7C"/>
    <w:rsid w:val="1D591813"/>
    <w:rsid w:val="1DFE0B33"/>
    <w:rsid w:val="22C708FF"/>
    <w:rsid w:val="254A065D"/>
    <w:rsid w:val="274F56B6"/>
    <w:rsid w:val="2B964AF3"/>
    <w:rsid w:val="2C54029F"/>
    <w:rsid w:val="2DB37DA8"/>
    <w:rsid w:val="2DE30932"/>
    <w:rsid w:val="34D12178"/>
    <w:rsid w:val="36A24274"/>
    <w:rsid w:val="38632DEE"/>
    <w:rsid w:val="391A3F7F"/>
    <w:rsid w:val="3E467EA9"/>
    <w:rsid w:val="456E4B24"/>
    <w:rsid w:val="45BB5601"/>
    <w:rsid w:val="47DF4017"/>
    <w:rsid w:val="47E95C8E"/>
    <w:rsid w:val="4A9735BA"/>
    <w:rsid w:val="4BE81378"/>
    <w:rsid w:val="4FBC187D"/>
    <w:rsid w:val="4FE41896"/>
    <w:rsid w:val="52A84851"/>
    <w:rsid w:val="533351A2"/>
    <w:rsid w:val="54C151FC"/>
    <w:rsid w:val="58CF0E6A"/>
    <w:rsid w:val="58E23954"/>
    <w:rsid w:val="598E5CDE"/>
    <w:rsid w:val="5BF753CA"/>
    <w:rsid w:val="5E9326CA"/>
    <w:rsid w:val="60A32AE1"/>
    <w:rsid w:val="64963A9A"/>
    <w:rsid w:val="66675A77"/>
    <w:rsid w:val="66F85FC8"/>
    <w:rsid w:val="67D36AA3"/>
    <w:rsid w:val="684E3DC9"/>
    <w:rsid w:val="6BE6685C"/>
    <w:rsid w:val="6C0A7A50"/>
    <w:rsid w:val="6E7733DC"/>
    <w:rsid w:val="700A29BE"/>
    <w:rsid w:val="72F81E42"/>
    <w:rsid w:val="750A5337"/>
    <w:rsid w:val="7DA45719"/>
    <w:rsid w:val="7DCD113D"/>
    <w:rsid w:val="7EF879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rFonts w:eastAsia="宋体"/>
      <w:kern w:val="2"/>
      <w:sz w:val="18"/>
      <w:szCs w:val="18"/>
      <w:lang w:val="en-US" w:eastAsia="zh-CN" w:bidi="ar-SA"/>
    </w:rPr>
  </w:style>
  <w:style w:type="paragraph" w:styleId="3">
    <w:name w:val="List"/>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NormalCharacter"/>
    <w:link w:val="1"/>
    <w:semiHidden/>
    <w:qFormat/>
    <w:uiPriority w:val="0"/>
  </w:style>
  <w:style w:type="table" w:customStyle="1" w:styleId="8">
    <w:name w:val="TableNormal"/>
    <w:semiHidden/>
    <w:qFormat/>
    <w:uiPriority w:val="0"/>
  </w:style>
  <w:style w:type="character" w:customStyle="1" w:styleId="9">
    <w:name w:val="PageNumber"/>
    <w:basedOn w:val="7"/>
    <w:link w:val="1"/>
    <w:qFormat/>
    <w:uiPriority w:val="0"/>
  </w:style>
  <w:style w:type="character" w:customStyle="1" w:styleId="10">
    <w:name w:val="UserStyle_0"/>
    <w:basedOn w:val="7"/>
    <w:link w:val="1"/>
    <w:qFormat/>
    <w:uiPriority w:val="0"/>
    <w:rPr>
      <w:rFonts w:ascii="宋体" w:hAnsi="宋体" w:eastAsia="宋体"/>
      <w:color w:val="FF0000"/>
      <w:sz w:val="20"/>
      <w:szCs w:val="20"/>
    </w:rPr>
  </w:style>
  <w:style w:type="character" w:customStyle="1" w:styleId="11">
    <w:name w:val="UserStyle_1"/>
    <w:basedOn w:val="7"/>
    <w:link w:val="1"/>
    <w:qFormat/>
    <w:uiPriority w:val="0"/>
    <w:rPr>
      <w:rFonts w:ascii="Arial" w:hAnsi="Arial"/>
      <w:color w:val="FF0000"/>
      <w:sz w:val="20"/>
      <w:szCs w:val="20"/>
    </w:rPr>
  </w:style>
  <w:style w:type="character" w:customStyle="1" w:styleId="12">
    <w:name w:val="UserStyle_2"/>
    <w:basedOn w:val="7"/>
    <w:link w:val="1"/>
    <w:qFormat/>
    <w:uiPriority w:val="0"/>
    <w:rPr>
      <w:rFonts w:ascii="宋体" w:hAnsi="宋体" w:eastAsia="宋体"/>
      <w:color w:val="1F4E78"/>
      <w:sz w:val="20"/>
      <w:szCs w:val="20"/>
    </w:rPr>
  </w:style>
  <w:style w:type="character" w:customStyle="1" w:styleId="13">
    <w:name w:val="UserStyle_3"/>
    <w:basedOn w:val="7"/>
    <w:link w:val="1"/>
    <w:qFormat/>
    <w:uiPriority w:val="0"/>
    <w:rPr>
      <w:rFonts w:ascii="Arial" w:hAnsi="Arial"/>
      <w:color w:val="1F4E78"/>
      <w:sz w:val="20"/>
      <w:szCs w:val="20"/>
    </w:rPr>
  </w:style>
  <w:style w:type="paragraph" w:customStyle="1" w:styleId="14">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5">
    <w:name w:val="Acetate"/>
    <w:basedOn w:val="1"/>
    <w:semiHidden/>
    <w:qFormat/>
    <w:uiPriority w:val="0"/>
    <w:pPr>
      <w:jc w:val="both"/>
      <w:textAlignment w:val="baseline"/>
    </w:pPr>
    <w:rPr>
      <w:rFonts w:eastAsia="宋体"/>
      <w:kern w:val="2"/>
      <w:sz w:val="18"/>
      <w:szCs w:val="18"/>
      <w:lang w:val="en-US" w:eastAsia="zh-CN" w:bidi="ar-SA"/>
    </w:rPr>
  </w:style>
  <w:style w:type="paragraph" w:customStyle="1" w:styleId="16">
    <w:name w:val="UserStyle_4"/>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table" w:customStyle="1" w:styleId="17">
    <w:name w:val="TableGrid"/>
    <w:basedOn w:val="8"/>
    <w:qFormat/>
    <w:uiPriority w:val="0"/>
  </w:style>
  <w:style w:type="character" w:customStyle="1" w:styleId="18">
    <w:name w:val="font01"/>
    <w:basedOn w:val="6"/>
    <w:qFormat/>
    <w:uiPriority w:val="0"/>
    <w:rPr>
      <w:rFonts w:hint="eastAsia" w:ascii="宋体" w:hAnsi="宋体" w:eastAsia="宋体" w:cs="宋体"/>
      <w:color w:val="000000"/>
      <w:sz w:val="21"/>
      <w:szCs w:val="21"/>
      <w:u w:val="none"/>
    </w:rPr>
  </w:style>
  <w:style w:type="character" w:customStyle="1" w:styleId="19">
    <w:name w:val="font51"/>
    <w:basedOn w:val="6"/>
    <w:qFormat/>
    <w:uiPriority w:val="0"/>
    <w:rPr>
      <w:rFonts w:hint="default" w:ascii="Times New Roman" w:hAnsi="Times New Roman" w:cs="Times New Roman"/>
      <w:color w:val="000000"/>
      <w:sz w:val="21"/>
      <w:szCs w:val="21"/>
      <w:u w:val="none"/>
    </w:rPr>
  </w:style>
  <w:style w:type="character" w:customStyle="1" w:styleId="20">
    <w:name w:val="font61"/>
    <w:basedOn w:val="6"/>
    <w:qFormat/>
    <w:uiPriority w:val="0"/>
    <w:rPr>
      <w:rFonts w:hint="default" w:ascii="Times New Roman" w:hAnsi="Times New Roman" w:cs="Times New Roman"/>
      <w:color w:val="000000"/>
      <w:sz w:val="21"/>
      <w:szCs w:val="21"/>
      <w:u w:val="none"/>
    </w:rPr>
  </w:style>
  <w:style w:type="character" w:customStyle="1" w:styleId="21">
    <w:name w:val="font31"/>
    <w:basedOn w:val="6"/>
    <w:qFormat/>
    <w:uiPriority w:val="0"/>
    <w:rPr>
      <w:rFonts w:hint="eastAsia" w:ascii="宋体" w:hAnsi="宋体" w:eastAsia="宋体" w:cs="宋体"/>
      <w:color w:val="000000"/>
      <w:sz w:val="22"/>
      <w:szCs w:val="22"/>
      <w:u w:val="none"/>
    </w:rPr>
  </w:style>
  <w:style w:type="character" w:customStyle="1" w:styleId="22">
    <w:name w:val="font41"/>
    <w:basedOn w:val="6"/>
    <w:qFormat/>
    <w:uiPriority w:val="0"/>
    <w:rPr>
      <w:rFonts w:hint="default" w:ascii="Times New Roman" w:hAnsi="Times New Roman" w:cs="Times New Roman"/>
      <w:color w:val="000000"/>
      <w:sz w:val="22"/>
      <w:szCs w:val="22"/>
      <w:u w:val="none"/>
    </w:rPr>
  </w:style>
  <w:style w:type="character" w:customStyle="1" w:styleId="23">
    <w:name w:val="font21"/>
    <w:basedOn w:val="6"/>
    <w:qFormat/>
    <w:uiPriority w:val="0"/>
    <w:rPr>
      <w:rFonts w:hint="eastAsia" w:ascii="宋体" w:hAnsi="宋体" w:eastAsia="宋体" w:cs="宋体"/>
      <w:color w:val="000000"/>
      <w:sz w:val="21"/>
      <w:szCs w:val="21"/>
      <w:u w:val="none"/>
    </w:rPr>
  </w:style>
  <w:style w:type="character" w:customStyle="1" w:styleId="24">
    <w:name w:val="font71"/>
    <w:basedOn w:val="6"/>
    <w:qFormat/>
    <w:uiPriority w:val="0"/>
    <w:rPr>
      <w:rFonts w:hint="eastAsia" w:ascii="宋体" w:hAnsi="宋体" w:eastAsia="宋体" w:cs="宋体"/>
      <w:color w:val="0070C0"/>
      <w:sz w:val="21"/>
      <w:szCs w:val="21"/>
      <w:u w:val="none"/>
    </w:rPr>
  </w:style>
  <w:style w:type="character" w:customStyle="1" w:styleId="25">
    <w:name w:val="font81"/>
    <w:basedOn w:val="6"/>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3970</Words>
  <Characters>4258</Characters>
  <TotalTime>18</TotalTime>
  <ScaleCrop>false</ScaleCrop>
  <LinksUpToDate>false</LinksUpToDate>
  <CharactersWithSpaces>4330</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2020-04-14T03:18:00Z</dcterms:created>
  <dc:creator>Administrator</dc:creator>
  <cp:lastModifiedBy>hp</cp:lastModifiedBy>
  <cp:lastPrinted>2024-06-03T07:12:00Z</cp:lastPrinted>
  <dcterms:modified xsi:type="dcterms:W3CDTF">2024-06-04T01:43:12Z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57BFAAD0A12F43EF9792B4192F88EECF_13</vt:lpwstr>
  </property>
</Properties>
</file>